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A3A" w:rsidRPr="003A4CA6" w:rsidRDefault="0018026B" w:rsidP="003A4CA6">
      <w:pPr>
        <w:jc w:val="both"/>
        <w:rPr>
          <w:rFonts w:ascii="Century" w:hAnsi="Century"/>
          <w:b/>
          <w:sz w:val="28"/>
          <w:szCs w:val="28"/>
        </w:rPr>
      </w:pPr>
      <w:r w:rsidRPr="003A4CA6">
        <w:rPr>
          <w:rFonts w:ascii="Century" w:hAnsi="Century"/>
          <w:b/>
          <w:sz w:val="28"/>
          <w:szCs w:val="28"/>
        </w:rPr>
        <w:t xml:space="preserve">Notariato: </w:t>
      </w:r>
      <w:r w:rsidR="00F82A3A" w:rsidRPr="003A4CA6">
        <w:rPr>
          <w:rFonts w:ascii="Century" w:hAnsi="Century"/>
          <w:b/>
          <w:sz w:val="28"/>
          <w:szCs w:val="28"/>
        </w:rPr>
        <w:t>Giurisdizione legale</w:t>
      </w:r>
      <w:r w:rsidR="00350D3C" w:rsidRPr="003A4CA6">
        <w:rPr>
          <w:rFonts w:ascii="Century" w:hAnsi="Century"/>
          <w:b/>
          <w:sz w:val="28"/>
          <w:szCs w:val="28"/>
        </w:rPr>
        <w:t>,</w:t>
      </w:r>
      <w:r w:rsidR="00F82A3A" w:rsidRPr="003A4CA6">
        <w:rPr>
          <w:rFonts w:ascii="Century" w:hAnsi="Century"/>
          <w:b/>
          <w:sz w:val="28"/>
          <w:szCs w:val="28"/>
        </w:rPr>
        <w:t xml:space="preserve"> giurisdizione culturale</w:t>
      </w:r>
      <w:r w:rsidR="00350D3C" w:rsidRPr="003A4CA6">
        <w:rPr>
          <w:rFonts w:ascii="Century" w:hAnsi="Century"/>
          <w:b/>
          <w:sz w:val="28"/>
          <w:szCs w:val="28"/>
        </w:rPr>
        <w:t>, obbligatorietà sociale</w:t>
      </w:r>
    </w:p>
    <w:p w:rsidR="00F82A3A" w:rsidRPr="003A4CA6" w:rsidRDefault="00F82A3A" w:rsidP="003A4CA6">
      <w:pPr>
        <w:jc w:val="both"/>
        <w:rPr>
          <w:rFonts w:ascii="Century" w:hAnsi="Century"/>
          <w:sz w:val="28"/>
          <w:szCs w:val="28"/>
        </w:rPr>
      </w:pPr>
    </w:p>
    <w:p w:rsidR="00F82A3A" w:rsidRPr="003A4CA6" w:rsidRDefault="00F82A3A" w:rsidP="003A4CA6">
      <w:pPr>
        <w:jc w:val="both"/>
        <w:rPr>
          <w:rFonts w:ascii="Century" w:hAnsi="Century"/>
          <w:sz w:val="28"/>
          <w:szCs w:val="28"/>
        </w:rPr>
      </w:pPr>
      <w:r w:rsidRPr="003A4CA6">
        <w:rPr>
          <w:rFonts w:ascii="Century" w:hAnsi="Century"/>
          <w:sz w:val="28"/>
          <w:szCs w:val="28"/>
        </w:rPr>
        <w:t xml:space="preserve">La funzione notarile quale attività di giurisdizione preventiva, porta l’attenzione su quello che è il cuore della professione notarile, quel controllo di legalità che attraverso le prescrizioni, i divieti e le sanzioni con cui viene protetto e assicurato dalla legge notarile, richiama molto da vicino una funzione di giustizia preventiva, quindi un ruolo in qualche modo giurisdizionale. </w:t>
      </w:r>
    </w:p>
    <w:p w:rsidR="00F82A3A" w:rsidRPr="003A4CA6" w:rsidRDefault="00F82A3A" w:rsidP="003A4CA6">
      <w:pPr>
        <w:jc w:val="both"/>
        <w:rPr>
          <w:rFonts w:ascii="Century" w:hAnsi="Century"/>
          <w:sz w:val="28"/>
          <w:szCs w:val="28"/>
        </w:rPr>
      </w:pPr>
    </w:p>
    <w:p w:rsidR="003A4CA6" w:rsidRPr="003A4CA6" w:rsidRDefault="00F82A3A" w:rsidP="003A4CA6">
      <w:pPr>
        <w:jc w:val="both"/>
        <w:rPr>
          <w:rFonts w:ascii="Century" w:hAnsi="Century"/>
          <w:sz w:val="28"/>
          <w:szCs w:val="28"/>
        </w:rPr>
      </w:pPr>
      <w:r w:rsidRPr="003A4CA6">
        <w:rPr>
          <w:rFonts w:ascii="Century" w:hAnsi="Century"/>
          <w:sz w:val="28"/>
          <w:szCs w:val="28"/>
        </w:rPr>
        <w:t xml:space="preserve">Il tessuto dell’organizzazione e delle strategie di governo in ogni società, è frutto della combinazione fra due </w:t>
      </w:r>
      <w:r w:rsidRPr="003A4CA6">
        <w:rPr>
          <w:rFonts w:ascii="Century" w:hAnsi="Century"/>
          <w:bCs/>
          <w:sz w:val="28"/>
          <w:szCs w:val="28"/>
        </w:rPr>
        <w:t>formanti normativi</w:t>
      </w:r>
      <w:r w:rsidRPr="003A4CA6">
        <w:rPr>
          <w:rFonts w:ascii="Century" w:hAnsi="Century"/>
          <w:sz w:val="28"/>
          <w:szCs w:val="28"/>
        </w:rPr>
        <w:t xml:space="preserve">, quello di tipo sociale, informale, non scritto, consuetudinario, e quello di tipo giuridico e formale. </w:t>
      </w:r>
    </w:p>
    <w:p w:rsidR="003A4CA6" w:rsidRPr="003A4CA6" w:rsidRDefault="003A4CA6" w:rsidP="003A4CA6">
      <w:pPr>
        <w:jc w:val="both"/>
        <w:rPr>
          <w:rFonts w:ascii="Century" w:hAnsi="Century"/>
          <w:sz w:val="28"/>
          <w:szCs w:val="28"/>
        </w:rPr>
      </w:pPr>
    </w:p>
    <w:p w:rsidR="00DA3B0F" w:rsidRPr="003A4CA6" w:rsidRDefault="00DA3B0F" w:rsidP="003A4CA6">
      <w:pPr>
        <w:jc w:val="both"/>
        <w:rPr>
          <w:rFonts w:ascii="Century" w:hAnsi="Century"/>
          <w:sz w:val="28"/>
          <w:szCs w:val="28"/>
        </w:rPr>
      </w:pPr>
      <w:r w:rsidRPr="003A4CA6">
        <w:rPr>
          <w:rFonts w:ascii="Century" w:hAnsi="Century"/>
          <w:sz w:val="28"/>
          <w:szCs w:val="28"/>
        </w:rPr>
        <w:t xml:space="preserve">Quindi “economia di mercato” e “libera concorrenza” non esistono in natura, bensì costituiscono sistemi di relazioni (variamente) costruiti dalla politica e governati dal diritto (M. </w:t>
      </w:r>
      <w:proofErr w:type="spellStart"/>
      <w:r w:rsidRPr="003A4CA6">
        <w:rPr>
          <w:rFonts w:ascii="Century" w:hAnsi="Century"/>
          <w:sz w:val="28"/>
          <w:szCs w:val="28"/>
        </w:rPr>
        <w:t>Clarich</w:t>
      </w:r>
      <w:proofErr w:type="spellEnd"/>
      <w:r w:rsidRPr="003A4CA6">
        <w:rPr>
          <w:rFonts w:ascii="Century" w:hAnsi="Century"/>
          <w:sz w:val="28"/>
          <w:szCs w:val="28"/>
        </w:rPr>
        <w:t>).</w:t>
      </w:r>
    </w:p>
    <w:p w:rsidR="003A4CA6" w:rsidRPr="003A4CA6" w:rsidRDefault="003A4CA6" w:rsidP="003A4CA6">
      <w:pPr>
        <w:jc w:val="both"/>
        <w:rPr>
          <w:rFonts w:ascii="Century" w:hAnsi="Century"/>
          <w:sz w:val="28"/>
          <w:szCs w:val="28"/>
        </w:rPr>
      </w:pPr>
    </w:p>
    <w:p w:rsidR="00F82A3A" w:rsidRPr="003A4CA6" w:rsidRDefault="00F82A3A" w:rsidP="003A4CA6">
      <w:pPr>
        <w:jc w:val="both"/>
        <w:rPr>
          <w:rFonts w:ascii="Century" w:hAnsi="Century"/>
          <w:sz w:val="28"/>
          <w:szCs w:val="28"/>
        </w:rPr>
      </w:pPr>
      <w:r w:rsidRPr="003A4CA6">
        <w:rPr>
          <w:rFonts w:ascii="Century" w:hAnsi="Century"/>
          <w:sz w:val="28"/>
          <w:szCs w:val="28"/>
        </w:rPr>
        <w:t xml:space="preserve">Il senso della doverosità e della fiducia informale non manca mai, perché gli ordinamenti, per essere civiltà compiuta, richiedono la presenza di un paradigma di sicurezza. Primari elementi ne sono norme e istituzioni </w:t>
      </w:r>
      <w:proofErr w:type="spellStart"/>
      <w:r w:rsidRPr="003A4CA6">
        <w:rPr>
          <w:rFonts w:ascii="Century" w:hAnsi="Century"/>
          <w:sz w:val="28"/>
          <w:szCs w:val="28"/>
        </w:rPr>
        <w:t>fiduciali</w:t>
      </w:r>
      <w:proofErr w:type="spellEnd"/>
      <w:r w:rsidRPr="003A4CA6">
        <w:rPr>
          <w:rFonts w:ascii="Century" w:hAnsi="Century"/>
          <w:sz w:val="28"/>
          <w:szCs w:val="28"/>
        </w:rPr>
        <w:t xml:space="preserve">, che facciano da scacchiera all’interno della quale si svolgono poi pacificamente e liberamente i giochi degli affari, disegnando una “infrastruttura fiduciaria e di giustizia” che consenta l’accesso di ciascuno alle opportunità e che fornisca un minimo di garanzia. </w:t>
      </w:r>
    </w:p>
    <w:p w:rsidR="003A4CA6" w:rsidRPr="003A4CA6" w:rsidRDefault="003A4CA6" w:rsidP="003A4CA6">
      <w:pPr>
        <w:jc w:val="both"/>
        <w:rPr>
          <w:rFonts w:ascii="Century" w:hAnsi="Century"/>
          <w:sz w:val="28"/>
          <w:szCs w:val="28"/>
        </w:rPr>
      </w:pPr>
    </w:p>
    <w:p w:rsidR="00F82A3A" w:rsidRPr="003A4CA6" w:rsidRDefault="00F82A3A" w:rsidP="003A4CA6">
      <w:pPr>
        <w:jc w:val="both"/>
        <w:rPr>
          <w:rFonts w:ascii="Century" w:hAnsi="Century"/>
          <w:sz w:val="28"/>
          <w:szCs w:val="28"/>
        </w:rPr>
      </w:pPr>
      <w:r w:rsidRPr="003A4CA6">
        <w:rPr>
          <w:rFonts w:ascii="Century" w:hAnsi="Century"/>
          <w:sz w:val="28"/>
          <w:szCs w:val="28"/>
        </w:rPr>
        <w:t>La fiducia reciproca fra individui infatti ha una valenza economica, perché in sua assenza sarebbe più costoso organizzare accordi, sanzioni e garanzie alternative che ne ricreino i perimetri di sicurezza (p</w:t>
      </w:r>
      <w:r w:rsidR="00EF1525" w:rsidRPr="003A4CA6">
        <w:rPr>
          <w:rFonts w:ascii="Century" w:hAnsi="Century"/>
          <w:sz w:val="28"/>
          <w:szCs w:val="28"/>
        </w:rPr>
        <w:t>agandone i relativi costi)</w:t>
      </w:r>
      <w:r w:rsidRPr="003A4CA6">
        <w:rPr>
          <w:rFonts w:ascii="Century" w:hAnsi="Century"/>
          <w:sz w:val="28"/>
          <w:szCs w:val="28"/>
        </w:rPr>
        <w:t xml:space="preserve">; da questo punto di vista, la fiducia può essere catalogata come quel particolare </w:t>
      </w:r>
      <w:r w:rsidR="00EF1525" w:rsidRPr="003A4CA6">
        <w:rPr>
          <w:rFonts w:ascii="Century" w:hAnsi="Century"/>
          <w:sz w:val="28"/>
          <w:szCs w:val="28"/>
        </w:rPr>
        <w:t>“bene comune” costituito</w:t>
      </w:r>
      <w:r w:rsidRPr="003A4CA6">
        <w:rPr>
          <w:rFonts w:ascii="Century" w:hAnsi="Century"/>
          <w:sz w:val="28"/>
          <w:szCs w:val="28"/>
        </w:rPr>
        <w:t xml:space="preserve"> da “accordi collettivi per assicurare una pacifica convivenza, ormai introiettati a livello inconscio” per migliorare l’efficienza del sistema socio-economico, ma a cui il sistema dei prezzi è inapplicabile. </w:t>
      </w:r>
    </w:p>
    <w:p w:rsidR="003A4CA6" w:rsidRPr="003A4CA6" w:rsidRDefault="003A4CA6" w:rsidP="003A4CA6">
      <w:pPr>
        <w:jc w:val="both"/>
        <w:rPr>
          <w:rFonts w:ascii="Century" w:hAnsi="Century"/>
          <w:sz w:val="28"/>
          <w:szCs w:val="28"/>
        </w:rPr>
      </w:pPr>
    </w:p>
    <w:p w:rsidR="00F82A3A" w:rsidRPr="003A4CA6" w:rsidRDefault="00F82A3A" w:rsidP="003A4CA6">
      <w:pPr>
        <w:jc w:val="both"/>
        <w:rPr>
          <w:rFonts w:ascii="Century" w:hAnsi="Century"/>
          <w:sz w:val="28"/>
          <w:szCs w:val="28"/>
        </w:rPr>
      </w:pPr>
      <w:r w:rsidRPr="003A4CA6">
        <w:rPr>
          <w:rFonts w:ascii="Century" w:hAnsi="Century"/>
          <w:sz w:val="28"/>
          <w:szCs w:val="28"/>
        </w:rPr>
        <w:t>La fiducia reciproca fra i consociati è così primaria risorsa che ha, in senso lato, una latente valenza normativa</w:t>
      </w:r>
      <w:r w:rsidRPr="003A4CA6">
        <w:rPr>
          <w:rStyle w:val="Rimandonotaapidipagina"/>
          <w:rFonts w:ascii="Century" w:hAnsi="Century"/>
          <w:sz w:val="28"/>
          <w:szCs w:val="28"/>
        </w:rPr>
        <w:footnoteReference w:id="1"/>
      </w:r>
      <w:r w:rsidRPr="003A4CA6">
        <w:rPr>
          <w:rFonts w:ascii="Century" w:hAnsi="Century"/>
          <w:sz w:val="28"/>
          <w:szCs w:val="28"/>
        </w:rPr>
        <w:t xml:space="preserve">, ed influisce sulla formazione dei prezzi, benché ad essa il sistema dei prezzi sia inapplicabile. </w:t>
      </w:r>
    </w:p>
    <w:p w:rsidR="003A4CA6" w:rsidRPr="003A4CA6" w:rsidRDefault="003A4CA6" w:rsidP="003A4CA6">
      <w:pPr>
        <w:jc w:val="both"/>
        <w:rPr>
          <w:rFonts w:ascii="Century" w:hAnsi="Century"/>
          <w:sz w:val="28"/>
          <w:szCs w:val="28"/>
        </w:rPr>
      </w:pPr>
    </w:p>
    <w:p w:rsidR="00EF1525" w:rsidRPr="003A4CA6" w:rsidRDefault="00F82A3A" w:rsidP="003A4CA6">
      <w:pPr>
        <w:jc w:val="both"/>
        <w:rPr>
          <w:rFonts w:ascii="Century" w:hAnsi="Century"/>
          <w:sz w:val="28"/>
          <w:szCs w:val="28"/>
        </w:rPr>
      </w:pPr>
      <w:r w:rsidRPr="003A4CA6">
        <w:rPr>
          <w:rFonts w:ascii="Century" w:hAnsi="Century"/>
          <w:sz w:val="28"/>
          <w:szCs w:val="28"/>
        </w:rPr>
        <w:t xml:space="preserve">In questo senso, la fiducia va a far parte del complesso di valori, norme e consuetudini che disciplinano in modo durevole il dover essere dei rapporti di un gruppo sociale, e configura una “istituzione” in senso sociologico, cioè un’articolazione “normativa” che, come “ogni forma di condotta istituita dalla collettività ed interiorizzata come condotta socialmente riconosciuta”, é capace di vincolare e orientare l’azione sociale. </w:t>
      </w:r>
    </w:p>
    <w:p w:rsidR="003A4CA6" w:rsidRPr="003A4CA6" w:rsidRDefault="003A4CA6" w:rsidP="003A4CA6">
      <w:pPr>
        <w:jc w:val="both"/>
        <w:rPr>
          <w:rFonts w:ascii="Century" w:hAnsi="Century"/>
          <w:sz w:val="28"/>
          <w:szCs w:val="28"/>
        </w:rPr>
      </w:pPr>
    </w:p>
    <w:p w:rsidR="00F82A3A" w:rsidRPr="003A4CA6" w:rsidRDefault="00F82A3A" w:rsidP="003A4CA6">
      <w:pPr>
        <w:jc w:val="both"/>
        <w:rPr>
          <w:rFonts w:ascii="Century" w:hAnsi="Century"/>
          <w:sz w:val="28"/>
          <w:szCs w:val="28"/>
        </w:rPr>
      </w:pPr>
      <w:r w:rsidRPr="003A4CA6">
        <w:rPr>
          <w:rFonts w:ascii="Century" w:hAnsi="Century"/>
          <w:sz w:val="28"/>
          <w:szCs w:val="28"/>
        </w:rPr>
        <w:t>Tutte queste articolazioni sociali si incardinano intorno ad una determinata istituzione (“cerniera”) che possiede il capitale simbolico, efficiente perché le si riconosce fiducia (</w:t>
      </w:r>
      <w:proofErr w:type="spellStart"/>
      <w:r w:rsidRPr="003A4CA6">
        <w:rPr>
          <w:rFonts w:ascii="Century" w:hAnsi="Century"/>
          <w:i/>
          <w:sz w:val="28"/>
          <w:szCs w:val="28"/>
        </w:rPr>
        <w:t>auctoritas</w:t>
      </w:r>
      <w:proofErr w:type="spellEnd"/>
      <w:r w:rsidRPr="003A4CA6">
        <w:rPr>
          <w:rFonts w:ascii="Century" w:hAnsi="Century"/>
          <w:sz w:val="28"/>
          <w:szCs w:val="28"/>
        </w:rPr>
        <w:t xml:space="preserve">), che permette di concedere in modo accettato, riconoscimento e legittimazione (R. D. </w:t>
      </w:r>
      <w:proofErr w:type="spellStart"/>
      <w:r w:rsidRPr="003A4CA6">
        <w:rPr>
          <w:rFonts w:ascii="Century" w:hAnsi="Century"/>
          <w:sz w:val="28"/>
          <w:szCs w:val="28"/>
        </w:rPr>
        <w:t>Putnam</w:t>
      </w:r>
      <w:proofErr w:type="spellEnd"/>
      <w:r w:rsidRPr="003A4CA6">
        <w:rPr>
          <w:rFonts w:ascii="Century" w:hAnsi="Century"/>
          <w:sz w:val="28"/>
          <w:szCs w:val="28"/>
        </w:rPr>
        <w:t xml:space="preserve">; J. Coleman), cioè i valori che tengono aggregati sistemi </w:t>
      </w:r>
      <w:proofErr w:type="spellStart"/>
      <w:r w:rsidRPr="003A4CA6">
        <w:rPr>
          <w:rFonts w:ascii="Century" w:hAnsi="Century"/>
          <w:sz w:val="28"/>
          <w:szCs w:val="28"/>
        </w:rPr>
        <w:t>fiduciali</w:t>
      </w:r>
      <w:proofErr w:type="spellEnd"/>
      <w:r w:rsidRPr="003A4CA6">
        <w:rPr>
          <w:rFonts w:ascii="Century" w:hAnsi="Century"/>
          <w:sz w:val="28"/>
          <w:szCs w:val="28"/>
        </w:rPr>
        <w:t xml:space="preserve"> fra le persone.</w:t>
      </w:r>
    </w:p>
    <w:p w:rsidR="003A4CA6" w:rsidRPr="003A4CA6" w:rsidRDefault="003A4CA6" w:rsidP="003A4CA6">
      <w:pPr>
        <w:jc w:val="both"/>
        <w:rPr>
          <w:rFonts w:ascii="Century" w:hAnsi="Century"/>
          <w:sz w:val="28"/>
          <w:szCs w:val="28"/>
        </w:rPr>
      </w:pPr>
    </w:p>
    <w:p w:rsidR="00F82A3A" w:rsidRPr="003A4CA6" w:rsidRDefault="00F82A3A" w:rsidP="003A4CA6">
      <w:pPr>
        <w:jc w:val="both"/>
        <w:rPr>
          <w:rFonts w:ascii="Century" w:hAnsi="Century"/>
          <w:sz w:val="28"/>
          <w:szCs w:val="28"/>
        </w:rPr>
      </w:pPr>
      <w:r w:rsidRPr="003A4CA6">
        <w:rPr>
          <w:rFonts w:ascii="Century" w:hAnsi="Century"/>
          <w:sz w:val="28"/>
          <w:szCs w:val="28"/>
        </w:rPr>
        <w:t xml:space="preserve">Così descritta, la fiducia è uno degli </w:t>
      </w:r>
      <w:proofErr w:type="spellStart"/>
      <w:r w:rsidRPr="003A4CA6">
        <w:rPr>
          <w:rFonts w:ascii="Century" w:hAnsi="Century"/>
          <w:i/>
          <w:iCs/>
          <w:sz w:val="28"/>
          <w:szCs w:val="28"/>
        </w:rPr>
        <w:t>assets</w:t>
      </w:r>
      <w:proofErr w:type="spellEnd"/>
      <w:r w:rsidRPr="003A4CA6">
        <w:rPr>
          <w:rFonts w:ascii="Century" w:hAnsi="Century"/>
          <w:sz w:val="28"/>
          <w:szCs w:val="28"/>
        </w:rPr>
        <w:t xml:space="preserve"> fondamentali del sistema economico.</w:t>
      </w:r>
    </w:p>
    <w:p w:rsidR="003A4CA6" w:rsidRPr="003A4CA6" w:rsidRDefault="003A4CA6" w:rsidP="003A4CA6">
      <w:pPr>
        <w:jc w:val="both"/>
        <w:rPr>
          <w:rFonts w:ascii="Century" w:hAnsi="Century"/>
          <w:sz w:val="28"/>
          <w:szCs w:val="28"/>
        </w:rPr>
      </w:pPr>
    </w:p>
    <w:p w:rsidR="00F82A3A" w:rsidRPr="003A4CA6" w:rsidRDefault="00F82A3A" w:rsidP="003A4CA6">
      <w:pPr>
        <w:jc w:val="both"/>
        <w:rPr>
          <w:rFonts w:ascii="Century" w:hAnsi="Century"/>
          <w:sz w:val="28"/>
          <w:szCs w:val="28"/>
        </w:rPr>
      </w:pPr>
      <w:r w:rsidRPr="003A4CA6">
        <w:rPr>
          <w:rFonts w:ascii="Century" w:hAnsi="Century"/>
          <w:sz w:val="28"/>
          <w:szCs w:val="28"/>
        </w:rPr>
        <w:t>Ma non può mai mancare l’ordinamento formale. Se non esistesse un sistema giuridico</w:t>
      </w:r>
      <w:r w:rsidRPr="003A4CA6">
        <w:rPr>
          <w:rStyle w:val="Rimandonotaapidipagina"/>
          <w:rFonts w:ascii="Century" w:hAnsi="Century"/>
          <w:sz w:val="28"/>
          <w:szCs w:val="28"/>
        </w:rPr>
        <w:footnoteReference w:id="2"/>
      </w:r>
      <w:r w:rsidRPr="003A4CA6">
        <w:rPr>
          <w:rFonts w:ascii="Century" w:hAnsi="Century"/>
          <w:sz w:val="28"/>
          <w:szCs w:val="28"/>
        </w:rPr>
        <w:t xml:space="preserve">, le parti sarebbero costrette ad investire con grande dispendio notevoli risorse, per difendere da sé, dall’altrui inaffidabilità, l’esecuzione del contratto, e verrebbe messo a repentaglio lo stesso valore normativo della fiducia; il sistema giuridico formale ha dunque la funzione di ridurre questi costi di transazione che si devono pagare “per giocare le partite”. </w:t>
      </w:r>
    </w:p>
    <w:p w:rsidR="003A4CA6" w:rsidRPr="003A4CA6" w:rsidRDefault="003A4CA6" w:rsidP="003A4CA6">
      <w:pPr>
        <w:jc w:val="both"/>
        <w:rPr>
          <w:rFonts w:ascii="Century" w:hAnsi="Century"/>
          <w:sz w:val="28"/>
          <w:szCs w:val="28"/>
        </w:rPr>
      </w:pPr>
    </w:p>
    <w:p w:rsidR="00F82A3A" w:rsidRPr="003A4CA6" w:rsidRDefault="00F82A3A" w:rsidP="003A4CA6">
      <w:pPr>
        <w:jc w:val="both"/>
        <w:rPr>
          <w:rFonts w:ascii="Century" w:hAnsi="Century"/>
          <w:sz w:val="28"/>
          <w:szCs w:val="28"/>
        </w:rPr>
      </w:pPr>
      <w:r w:rsidRPr="003A4CA6">
        <w:rPr>
          <w:rFonts w:ascii="Century" w:hAnsi="Century"/>
          <w:sz w:val="28"/>
          <w:szCs w:val="28"/>
        </w:rPr>
        <w:t xml:space="preserve">Vi presiedono quali addetti a questo ruolo di </w:t>
      </w:r>
      <w:r w:rsidRPr="003A4CA6">
        <w:rPr>
          <w:rFonts w:ascii="Century" w:hAnsi="Century"/>
          <w:bCs/>
          <w:sz w:val="28"/>
          <w:szCs w:val="28"/>
        </w:rPr>
        <w:t>conciliazione</w:t>
      </w:r>
      <w:r w:rsidRPr="003A4CA6">
        <w:rPr>
          <w:rFonts w:ascii="Century" w:hAnsi="Century"/>
          <w:sz w:val="28"/>
          <w:szCs w:val="28"/>
        </w:rPr>
        <w:t xml:space="preserve">, forme istituzionali, </w:t>
      </w:r>
      <w:proofErr w:type="spellStart"/>
      <w:r w:rsidRPr="003A4CA6">
        <w:rPr>
          <w:rFonts w:ascii="Century" w:hAnsi="Century"/>
          <w:i/>
          <w:sz w:val="28"/>
          <w:szCs w:val="28"/>
        </w:rPr>
        <w:t>authorities</w:t>
      </w:r>
      <w:proofErr w:type="spellEnd"/>
      <w:r w:rsidRPr="003A4CA6">
        <w:rPr>
          <w:rFonts w:ascii="Century" w:hAnsi="Century"/>
          <w:sz w:val="28"/>
          <w:szCs w:val="28"/>
        </w:rPr>
        <w:t>, magistrature, attestazioni ufficiali, ma sempre connotate quali “arbitri” (</w:t>
      </w:r>
      <w:r w:rsidRPr="003A4CA6">
        <w:rPr>
          <w:rFonts w:ascii="Century" w:hAnsi="Century"/>
          <w:iCs/>
          <w:sz w:val="28"/>
          <w:szCs w:val="28"/>
        </w:rPr>
        <w:t>TTP</w:t>
      </w:r>
      <w:r w:rsidRPr="003A4CA6">
        <w:rPr>
          <w:rFonts w:ascii="Century" w:hAnsi="Century"/>
          <w:i/>
          <w:iCs/>
          <w:sz w:val="28"/>
          <w:szCs w:val="28"/>
        </w:rPr>
        <w:t xml:space="preserve"> </w:t>
      </w:r>
      <w:proofErr w:type="spellStart"/>
      <w:r w:rsidRPr="003A4CA6">
        <w:rPr>
          <w:rFonts w:ascii="Century" w:hAnsi="Century"/>
          <w:i/>
          <w:sz w:val="28"/>
          <w:szCs w:val="28"/>
        </w:rPr>
        <w:t>Trusted</w:t>
      </w:r>
      <w:proofErr w:type="spellEnd"/>
      <w:r w:rsidRPr="003A4CA6">
        <w:rPr>
          <w:rFonts w:ascii="Century" w:hAnsi="Century"/>
          <w:i/>
          <w:sz w:val="28"/>
          <w:szCs w:val="28"/>
        </w:rPr>
        <w:t xml:space="preserve"> </w:t>
      </w:r>
      <w:proofErr w:type="spellStart"/>
      <w:r w:rsidRPr="003A4CA6">
        <w:rPr>
          <w:rFonts w:ascii="Century" w:hAnsi="Century"/>
          <w:i/>
          <w:sz w:val="28"/>
          <w:szCs w:val="28"/>
        </w:rPr>
        <w:t>third</w:t>
      </w:r>
      <w:proofErr w:type="spellEnd"/>
      <w:r w:rsidRPr="003A4CA6">
        <w:rPr>
          <w:rFonts w:ascii="Century" w:hAnsi="Century"/>
          <w:i/>
          <w:sz w:val="28"/>
          <w:szCs w:val="28"/>
        </w:rPr>
        <w:t xml:space="preserve"> party)</w:t>
      </w:r>
      <w:r w:rsidRPr="003A4CA6">
        <w:rPr>
          <w:rFonts w:ascii="Century" w:hAnsi="Century"/>
          <w:sz w:val="28"/>
          <w:szCs w:val="28"/>
        </w:rPr>
        <w:t xml:space="preserve">, che assicurano le parti che accedono al mercato, che il rapporto avvenga nel rispetto delle regole del gioco, da intendere, non come un appesantimento, bensì, come una risorsa per l’azione (il c.d. teorema di </w:t>
      </w:r>
      <w:proofErr w:type="spellStart"/>
      <w:r w:rsidRPr="003A4CA6">
        <w:rPr>
          <w:rFonts w:ascii="Century" w:hAnsi="Century"/>
          <w:i/>
          <w:iCs/>
          <w:sz w:val="28"/>
          <w:szCs w:val="28"/>
        </w:rPr>
        <w:t>Schumpeter</w:t>
      </w:r>
      <w:proofErr w:type="spellEnd"/>
      <w:r w:rsidRPr="003A4CA6">
        <w:rPr>
          <w:rFonts w:ascii="Century" w:hAnsi="Century"/>
          <w:sz w:val="28"/>
          <w:szCs w:val="28"/>
        </w:rPr>
        <w:t>: “</w:t>
      </w:r>
      <w:r w:rsidRPr="003A4CA6">
        <w:rPr>
          <w:rFonts w:ascii="Century" w:hAnsi="Century"/>
          <w:i/>
          <w:sz w:val="28"/>
          <w:szCs w:val="28"/>
        </w:rPr>
        <w:t>È grazie ai freni che le macchine possono andare più veloci</w:t>
      </w:r>
      <w:r w:rsidRPr="003A4CA6">
        <w:rPr>
          <w:rFonts w:ascii="Century" w:hAnsi="Century"/>
          <w:sz w:val="28"/>
          <w:szCs w:val="28"/>
        </w:rPr>
        <w:t xml:space="preserve">”). </w:t>
      </w:r>
    </w:p>
    <w:p w:rsidR="003A4CA6" w:rsidRPr="003A4CA6" w:rsidRDefault="003A4CA6" w:rsidP="003A4CA6">
      <w:pPr>
        <w:jc w:val="both"/>
        <w:rPr>
          <w:rFonts w:ascii="Century" w:hAnsi="Century"/>
          <w:sz w:val="28"/>
          <w:szCs w:val="28"/>
        </w:rPr>
      </w:pPr>
    </w:p>
    <w:p w:rsidR="00F82A3A" w:rsidRPr="003A4CA6" w:rsidRDefault="00F82A3A" w:rsidP="003A4CA6">
      <w:pPr>
        <w:jc w:val="both"/>
        <w:rPr>
          <w:rFonts w:ascii="Century" w:hAnsi="Century"/>
          <w:sz w:val="28"/>
          <w:szCs w:val="28"/>
        </w:rPr>
      </w:pPr>
      <w:r w:rsidRPr="003A4CA6">
        <w:rPr>
          <w:rFonts w:ascii="Century" w:hAnsi="Century"/>
          <w:sz w:val="28"/>
          <w:szCs w:val="28"/>
        </w:rPr>
        <w:t xml:space="preserve">Il positivo mutamento di livello è dunque dovuto all’intervento di un fattore </w:t>
      </w:r>
      <w:r w:rsidRPr="003A4CA6">
        <w:rPr>
          <w:rFonts w:ascii="Century" w:hAnsi="Century"/>
          <w:bCs/>
          <w:sz w:val="28"/>
          <w:szCs w:val="28"/>
        </w:rPr>
        <w:t>terzo/organo di abilitazione e di validazione</w:t>
      </w:r>
      <w:r w:rsidRPr="003A4CA6">
        <w:rPr>
          <w:rFonts w:ascii="Century" w:hAnsi="Century"/>
          <w:sz w:val="28"/>
          <w:szCs w:val="28"/>
        </w:rPr>
        <w:t xml:space="preserve">, intermediario ed </w:t>
      </w:r>
      <w:r w:rsidRPr="003A4CA6">
        <w:rPr>
          <w:rFonts w:ascii="Century" w:hAnsi="Century"/>
          <w:sz w:val="28"/>
          <w:szCs w:val="28"/>
        </w:rPr>
        <w:lastRenderedPageBreak/>
        <w:t xml:space="preserve">esplicito, che </w:t>
      </w:r>
      <w:r w:rsidR="00EF1525" w:rsidRPr="003A4CA6">
        <w:rPr>
          <w:rFonts w:ascii="Century" w:hAnsi="Century"/>
          <w:sz w:val="28"/>
          <w:szCs w:val="28"/>
        </w:rPr>
        <w:t>assicura</w:t>
      </w:r>
      <w:r w:rsidRPr="003A4CA6">
        <w:rPr>
          <w:rFonts w:ascii="Century" w:hAnsi="Century"/>
          <w:sz w:val="28"/>
          <w:szCs w:val="28"/>
        </w:rPr>
        <w:t xml:space="preserve"> un passaggio fra l’uno e l’altro (controparte pubblica). Non può che esservi inter-posto un “ufficiale”, separato e retto all’interno della propria sfera da regole particolari”</w:t>
      </w:r>
      <w:r w:rsidRPr="003A4CA6">
        <w:rPr>
          <w:rStyle w:val="Rimandonotaapidipagina"/>
          <w:rFonts w:ascii="Century" w:hAnsi="Century"/>
          <w:sz w:val="28"/>
          <w:szCs w:val="28"/>
        </w:rPr>
        <w:footnoteReference w:id="3"/>
      </w:r>
      <w:r w:rsidRPr="003A4CA6">
        <w:rPr>
          <w:rFonts w:ascii="Century" w:hAnsi="Century"/>
          <w:sz w:val="28"/>
          <w:szCs w:val="28"/>
        </w:rPr>
        <w:t>, che assicura che il passaggio resti libero, e che è accettato perché non introduce una nuova posta nel gioco con la quale bisognerà fare i conti, ma è esso stesso la “triangolazione”, cioè il campo di sfogo necessario per rilanciare la comunicazione, bloccata dall’</w:t>
      </w:r>
      <w:r w:rsidRPr="003A4CA6">
        <w:rPr>
          <w:rFonts w:ascii="Century" w:hAnsi="Century"/>
          <w:i/>
          <w:sz w:val="28"/>
          <w:szCs w:val="28"/>
        </w:rPr>
        <w:t>impasse</w:t>
      </w:r>
      <w:r w:rsidRPr="003A4CA6">
        <w:rPr>
          <w:rFonts w:ascii="Century" w:hAnsi="Century"/>
          <w:sz w:val="28"/>
          <w:szCs w:val="28"/>
        </w:rPr>
        <w:t xml:space="preserve"> dell’irriducibile opposizione.</w:t>
      </w:r>
    </w:p>
    <w:p w:rsidR="00F82A3A" w:rsidRPr="003A4CA6" w:rsidRDefault="00F82A3A" w:rsidP="003A4CA6">
      <w:pPr>
        <w:jc w:val="both"/>
        <w:rPr>
          <w:rFonts w:ascii="Century" w:hAnsi="Century"/>
          <w:sz w:val="28"/>
          <w:szCs w:val="28"/>
        </w:rPr>
      </w:pPr>
    </w:p>
    <w:p w:rsidR="00F82A3A" w:rsidRPr="003A4CA6" w:rsidRDefault="00F82A3A" w:rsidP="003A4CA6">
      <w:pPr>
        <w:jc w:val="both"/>
        <w:rPr>
          <w:rFonts w:ascii="Century" w:hAnsi="Century"/>
          <w:sz w:val="28"/>
          <w:szCs w:val="28"/>
        </w:rPr>
      </w:pPr>
      <w:r w:rsidRPr="003A4CA6">
        <w:rPr>
          <w:rFonts w:ascii="Century" w:hAnsi="Century"/>
          <w:sz w:val="28"/>
          <w:szCs w:val="28"/>
        </w:rPr>
        <w:t>Questo illumina anche un altro tema centrale del diritto della concorrenza, la pretesa che il sistema non deve imporre in esclusiva, l’obbligatorietà dell’impiego di un certo professionista, e che bisogna condividere competenze fra d</w:t>
      </w:r>
      <w:r w:rsidR="00EF1525" w:rsidRPr="003A4CA6">
        <w:rPr>
          <w:rFonts w:ascii="Century" w:hAnsi="Century"/>
          <w:sz w:val="28"/>
          <w:szCs w:val="28"/>
        </w:rPr>
        <w:t xml:space="preserve">iverse professionalità, </w:t>
      </w:r>
      <w:proofErr w:type="spellStart"/>
      <w:r w:rsidR="00EF1525" w:rsidRPr="003A4CA6">
        <w:rPr>
          <w:rFonts w:ascii="Century" w:hAnsi="Century"/>
          <w:sz w:val="28"/>
          <w:szCs w:val="28"/>
        </w:rPr>
        <w:t>perchè</w:t>
      </w:r>
      <w:proofErr w:type="spellEnd"/>
      <w:r w:rsidRPr="003A4CA6">
        <w:rPr>
          <w:rFonts w:ascii="Century" w:hAnsi="Century"/>
          <w:sz w:val="28"/>
          <w:szCs w:val="28"/>
        </w:rPr>
        <w:t xml:space="preserve"> ogni servizio </w:t>
      </w:r>
      <w:r w:rsidR="00EF1525" w:rsidRPr="003A4CA6">
        <w:rPr>
          <w:rFonts w:ascii="Century" w:hAnsi="Century"/>
          <w:sz w:val="28"/>
          <w:szCs w:val="28"/>
        </w:rPr>
        <w:t>migliora se è</w:t>
      </w:r>
      <w:r w:rsidRPr="003A4CA6">
        <w:rPr>
          <w:rFonts w:ascii="Century" w:hAnsi="Century"/>
          <w:sz w:val="28"/>
          <w:szCs w:val="28"/>
        </w:rPr>
        <w:t xml:space="preserve"> contendibile. </w:t>
      </w:r>
    </w:p>
    <w:p w:rsidR="00EF1525" w:rsidRPr="003A4CA6" w:rsidRDefault="00F82A3A" w:rsidP="003A4CA6">
      <w:pPr>
        <w:jc w:val="both"/>
        <w:rPr>
          <w:rFonts w:ascii="Century" w:hAnsi="Century"/>
          <w:sz w:val="28"/>
          <w:szCs w:val="28"/>
        </w:rPr>
      </w:pPr>
      <w:r w:rsidRPr="003A4CA6">
        <w:rPr>
          <w:rFonts w:ascii="Century" w:hAnsi="Century"/>
          <w:sz w:val="28"/>
          <w:szCs w:val="28"/>
        </w:rPr>
        <w:t xml:space="preserve">Naturalmente l’analisi va rinnovata rispetto </w:t>
      </w:r>
      <w:r w:rsidR="00350D3C" w:rsidRPr="003A4CA6">
        <w:rPr>
          <w:rFonts w:ascii="Century" w:hAnsi="Century"/>
          <w:sz w:val="28"/>
          <w:szCs w:val="28"/>
        </w:rPr>
        <w:t>ad ogni interesse rilevante, rispetto al quale, la valutazione corretta richiede la verifica del</w:t>
      </w:r>
      <w:r w:rsidRPr="003A4CA6">
        <w:rPr>
          <w:rFonts w:ascii="Century" w:hAnsi="Century"/>
          <w:sz w:val="28"/>
          <w:szCs w:val="28"/>
        </w:rPr>
        <w:t xml:space="preserve">la c.d. </w:t>
      </w:r>
      <w:r w:rsidRPr="003A4CA6">
        <w:rPr>
          <w:rFonts w:ascii="Century" w:hAnsi="Century"/>
          <w:bCs/>
          <w:sz w:val="28"/>
          <w:szCs w:val="28"/>
        </w:rPr>
        <w:t xml:space="preserve">“giurisdizione culturale” </w:t>
      </w:r>
      <w:r w:rsidRPr="003A4CA6">
        <w:rPr>
          <w:rFonts w:ascii="Century" w:hAnsi="Century"/>
          <w:sz w:val="28"/>
          <w:szCs w:val="28"/>
        </w:rPr>
        <w:t xml:space="preserve">di un Paese, </w:t>
      </w:r>
      <w:r w:rsidR="00EF1525" w:rsidRPr="003A4CA6">
        <w:rPr>
          <w:rFonts w:ascii="Century" w:hAnsi="Century"/>
          <w:sz w:val="28"/>
          <w:szCs w:val="28"/>
        </w:rPr>
        <w:t xml:space="preserve">cioè </w:t>
      </w:r>
      <w:r w:rsidRPr="003A4CA6">
        <w:rPr>
          <w:rFonts w:ascii="Century" w:hAnsi="Century"/>
          <w:sz w:val="28"/>
          <w:szCs w:val="28"/>
        </w:rPr>
        <w:t xml:space="preserve">la “costituzione materiale” che esce dalla combinazione fra i due formanti normativi, informale e formale. </w:t>
      </w:r>
    </w:p>
    <w:p w:rsidR="003A4CA6" w:rsidRPr="003A4CA6" w:rsidRDefault="003A4CA6" w:rsidP="003A4CA6">
      <w:pPr>
        <w:jc w:val="both"/>
        <w:rPr>
          <w:rFonts w:ascii="Century" w:hAnsi="Century"/>
          <w:sz w:val="28"/>
          <w:szCs w:val="28"/>
        </w:rPr>
      </w:pPr>
    </w:p>
    <w:p w:rsidR="00350D3C" w:rsidRPr="003A4CA6" w:rsidRDefault="00F82A3A" w:rsidP="003A4CA6">
      <w:pPr>
        <w:jc w:val="both"/>
        <w:rPr>
          <w:rFonts w:ascii="Century" w:hAnsi="Century"/>
          <w:sz w:val="28"/>
          <w:szCs w:val="28"/>
        </w:rPr>
      </w:pPr>
      <w:r w:rsidRPr="003A4CA6">
        <w:rPr>
          <w:rFonts w:ascii="Century" w:hAnsi="Century"/>
          <w:sz w:val="28"/>
          <w:szCs w:val="28"/>
        </w:rPr>
        <w:t xml:space="preserve">Poco importa l’esistenza o l’assenza di obblighi legali di ricorrere ad una figura professionale, se poi nessun utente in un certo mondo </w:t>
      </w:r>
      <w:proofErr w:type="spellStart"/>
      <w:r w:rsidRPr="003A4CA6">
        <w:rPr>
          <w:rFonts w:ascii="Century" w:hAnsi="Century"/>
          <w:sz w:val="28"/>
          <w:szCs w:val="28"/>
        </w:rPr>
        <w:t>giuridico-economico</w:t>
      </w:r>
      <w:proofErr w:type="spellEnd"/>
      <w:r w:rsidRPr="003A4CA6">
        <w:rPr>
          <w:rFonts w:ascii="Century" w:hAnsi="Century"/>
          <w:sz w:val="28"/>
          <w:szCs w:val="28"/>
        </w:rPr>
        <w:t xml:space="preserve"> </w:t>
      </w:r>
      <w:r w:rsidR="00350D3C" w:rsidRPr="003A4CA6">
        <w:rPr>
          <w:rFonts w:ascii="Century" w:hAnsi="Century"/>
          <w:sz w:val="28"/>
          <w:szCs w:val="28"/>
        </w:rPr>
        <w:t xml:space="preserve">liberalizzato da vincoli legali, </w:t>
      </w:r>
      <w:r w:rsidRPr="003A4CA6">
        <w:rPr>
          <w:rFonts w:ascii="Century" w:hAnsi="Century"/>
          <w:sz w:val="28"/>
          <w:szCs w:val="28"/>
        </w:rPr>
        <w:t xml:space="preserve">si azzarderebbe mai ad avventurarsi da solo senza consulenza professionale, anche se potrebbe farlo, perché quelle matrici sono tali da far giudicare dall’uomo del modello razionale, proprio in quanto essere razionale, inaccettabile il rischio dell’asimmetria informativa di cui sarebbe consapevolmente vittima se non si facesse assistere da uno specialista. </w:t>
      </w:r>
    </w:p>
    <w:p w:rsidR="003A4CA6" w:rsidRPr="003A4CA6" w:rsidRDefault="003A4CA6" w:rsidP="003A4CA6">
      <w:pPr>
        <w:jc w:val="both"/>
        <w:rPr>
          <w:rFonts w:ascii="Century" w:hAnsi="Century"/>
          <w:sz w:val="28"/>
          <w:szCs w:val="28"/>
        </w:rPr>
      </w:pPr>
    </w:p>
    <w:p w:rsidR="00350D3C" w:rsidRPr="003A4CA6" w:rsidRDefault="00F82A3A" w:rsidP="003A4CA6">
      <w:pPr>
        <w:jc w:val="both"/>
        <w:rPr>
          <w:rFonts w:ascii="Century" w:hAnsi="Century"/>
          <w:sz w:val="28"/>
          <w:szCs w:val="28"/>
        </w:rPr>
      </w:pPr>
      <w:r w:rsidRPr="003A4CA6">
        <w:rPr>
          <w:rFonts w:ascii="Century" w:hAnsi="Century"/>
          <w:sz w:val="28"/>
          <w:szCs w:val="28"/>
        </w:rPr>
        <w:t>L’</w:t>
      </w:r>
      <w:r w:rsidRPr="003A4CA6">
        <w:rPr>
          <w:rFonts w:ascii="Century" w:hAnsi="Century"/>
          <w:bCs/>
          <w:sz w:val="28"/>
          <w:szCs w:val="28"/>
        </w:rPr>
        <w:t xml:space="preserve">obbligatorietà sociale </w:t>
      </w:r>
      <w:r w:rsidRPr="003A4CA6">
        <w:rPr>
          <w:rFonts w:ascii="Century" w:hAnsi="Century"/>
          <w:sz w:val="28"/>
          <w:szCs w:val="28"/>
        </w:rPr>
        <w:t>dimostra che non</w:t>
      </w:r>
      <w:r w:rsidRPr="003A4CA6">
        <w:rPr>
          <w:rFonts w:ascii="Century" w:hAnsi="Century"/>
          <w:bCs/>
          <w:sz w:val="28"/>
          <w:szCs w:val="28"/>
        </w:rPr>
        <w:t xml:space="preserve"> </w:t>
      </w:r>
      <w:r w:rsidRPr="003A4CA6">
        <w:rPr>
          <w:rFonts w:ascii="Century" w:hAnsi="Century"/>
          <w:sz w:val="28"/>
          <w:szCs w:val="28"/>
        </w:rPr>
        <w:t>basta criticare le formalità legalmente obbligatorie, perché bisogna vedere quale costo e quale intensità avranno le inevitabili procedure private di controllo sostitutivo, apparentemente volontarie, ma in realtà, pur se socialmente e non giuridicamente, altrettanto obbligatorie.</w:t>
      </w:r>
    </w:p>
    <w:p w:rsidR="003A4CA6" w:rsidRPr="003A4CA6" w:rsidRDefault="003A4CA6" w:rsidP="003A4CA6">
      <w:pPr>
        <w:jc w:val="both"/>
        <w:rPr>
          <w:rFonts w:ascii="Century" w:hAnsi="Century"/>
          <w:sz w:val="28"/>
          <w:szCs w:val="28"/>
        </w:rPr>
      </w:pPr>
    </w:p>
    <w:p w:rsidR="00350D3C" w:rsidRPr="001F12AE" w:rsidRDefault="00350D3C" w:rsidP="003A4CA6">
      <w:pPr>
        <w:jc w:val="both"/>
      </w:pPr>
      <w:r w:rsidRPr="003A4CA6">
        <w:rPr>
          <w:rFonts w:ascii="Century" w:hAnsi="Century"/>
          <w:sz w:val="28"/>
          <w:szCs w:val="28"/>
        </w:rPr>
        <w:t xml:space="preserve">Con questa ottica, ci si accorge che </w:t>
      </w:r>
      <w:r w:rsidR="00F82A3A" w:rsidRPr="003A4CA6">
        <w:rPr>
          <w:rFonts w:ascii="Century" w:hAnsi="Century"/>
          <w:sz w:val="28"/>
          <w:szCs w:val="28"/>
        </w:rPr>
        <w:t xml:space="preserve">il </w:t>
      </w:r>
      <w:r w:rsidR="00F82A3A" w:rsidRPr="003A4CA6">
        <w:rPr>
          <w:rFonts w:ascii="Century" w:hAnsi="Century"/>
          <w:i/>
          <w:iCs/>
          <w:sz w:val="28"/>
          <w:szCs w:val="28"/>
        </w:rPr>
        <w:t xml:space="preserve">common </w:t>
      </w:r>
      <w:proofErr w:type="spellStart"/>
      <w:r w:rsidR="00F82A3A" w:rsidRPr="003A4CA6">
        <w:rPr>
          <w:rFonts w:ascii="Century" w:hAnsi="Century"/>
          <w:i/>
          <w:iCs/>
          <w:sz w:val="28"/>
          <w:szCs w:val="28"/>
        </w:rPr>
        <w:t>law</w:t>
      </w:r>
      <w:proofErr w:type="spellEnd"/>
      <w:r w:rsidR="00F82A3A" w:rsidRPr="003A4CA6">
        <w:rPr>
          <w:rFonts w:ascii="Century" w:hAnsi="Century"/>
          <w:sz w:val="28"/>
          <w:szCs w:val="28"/>
        </w:rPr>
        <w:t xml:space="preserve"> </w:t>
      </w:r>
      <w:r w:rsidRPr="003A4CA6">
        <w:rPr>
          <w:rFonts w:ascii="Century" w:hAnsi="Century"/>
          <w:sz w:val="28"/>
          <w:szCs w:val="28"/>
        </w:rPr>
        <w:t xml:space="preserve">è intriso di </w:t>
      </w:r>
      <w:r w:rsidR="00F82A3A" w:rsidRPr="003A4CA6">
        <w:rPr>
          <w:rFonts w:ascii="Century" w:hAnsi="Century"/>
          <w:sz w:val="28"/>
          <w:szCs w:val="28"/>
        </w:rPr>
        <w:t>regole</w:t>
      </w:r>
      <w:r w:rsidRPr="003A4CA6">
        <w:rPr>
          <w:rFonts w:ascii="Century" w:hAnsi="Century"/>
          <w:sz w:val="28"/>
          <w:szCs w:val="28"/>
        </w:rPr>
        <w:t>, ma</w:t>
      </w:r>
      <w:r w:rsidR="00F82A3A" w:rsidRPr="003A4CA6">
        <w:rPr>
          <w:rFonts w:ascii="Century" w:hAnsi="Century"/>
          <w:sz w:val="28"/>
          <w:szCs w:val="28"/>
        </w:rPr>
        <w:t xml:space="preserve"> informali</w:t>
      </w:r>
      <w:r w:rsidRPr="003A4CA6">
        <w:rPr>
          <w:rFonts w:ascii="Century" w:hAnsi="Century"/>
          <w:sz w:val="28"/>
          <w:szCs w:val="28"/>
        </w:rPr>
        <w:t>,</w:t>
      </w:r>
      <w:r w:rsidR="00F82A3A" w:rsidRPr="003A4CA6">
        <w:rPr>
          <w:rFonts w:ascii="Century" w:hAnsi="Century"/>
          <w:sz w:val="28"/>
          <w:szCs w:val="28"/>
        </w:rPr>
        <w:t xml:space="preserve"> che portano in sé un fattore etico condiviso, per cui è implicito nel sistema dei precedenti il contesto morale della “</w:t>
      </w:r>
      <w:proofErr w:type="spellStart"/>
      <w:r w:rsidR="00F82A3A" w:rsidRPr="003A4CA6">
        <w:rPr>
          <w:rFonts w:ascii="Century" w:hAnsi="Century"/>
          <w:i/>
          <w:iCs/>
          <w:sz w:val="28"/>
          <w:szCs w:val="28"/>
        </w:rPr>
        <w:t>hand</w:t>
      </w:r>
      <w:proofErr w:type="spellEnd"/>
      <w:r w:rsidR="00F82A3A" w:rsidRPr="003A4CA6">
        <w:rPr>
          <w:rFonts w:ascii="Century" w:hAnsi="Century"/>
          <w:i/>
          <w:iCs/>
          <w:sz w:val="28"/>
          <w:szCs w:val="28"/>
        </w:rPr>
        <w:t xml:space="preserve"> </w:t>
      </w:r>
      <w:proofErr w:type="spellStart"/>
      <w:r w:rsidR="00F82A3A" w:rsidRPr="003A4CA6">
        <w:rPr>
          <w:rFonts w:ascii="Century" w:hAnsi="Century"/>
          <w:i/>
          <w:iCs/>
          <w:sz w:val="28"/>
          <w:szCs w:val="28"/>
        </w:rPr>
        <w:t>of</w:t>
      </w:r>
      <w:proofErr w:type="spellEnd"/>
      <w:r w:rsidR="00F82A3A" w:rsidRPr="003A4CA6">
        <w:rPr>
          <w:rFonts w:ascii="Century" w:hAnsi="Century"/>
          <w:i/>
          <w:iCs/>
          <w:sz w:val="28"/>
          <w:szCs w:val="28"/>
        </w:rPr>
        <w:t xml:space="preserve"> the </w:t>
      </w:r>
      <w:proofErr w:type="spellStart"/>
      <w:r w:rsidR="00F82A3A" w:rsidRPr="003A4CA6">
        <w:rPr>
          <w:rFonts w:ascii="Century" w:hAnsi="Century"/>
          <w:i/>
          <w:iCs/>
          <w:sz w:val="28"/>
          <w:szCs w:val="28"/>
        </w:rPr>
        <w:t>past</w:t>
      </w:r>
      <w:proofErr w:type="spellEnd"/>
      <w:r w:rsidR="00F82A3A" w:rsidRPr="003A4CA6">
        <w:rPr>
          <w:rFonts w:ascii="Century" w:hAnsi="Century"/>
          <w:sz w:val="28"/>
          <w:szCs w:val="28"/>
        </w:rPr>
        <w:t xml:space="preserve">”, </w:t>
      </w:r>
      <w:r w:rsidRPr="003A4CA6">
        <w:rPr>
          <w:rFonts w:ascii="Century" w:hAnsi="Century"/>
          <w:sz w:val="28"/>
          <w:szCs w:val="28"/>
        </w:rPr>
        <w:t>dimostrandosi che</w:t>
      </w:r>
      <w:r w:rsidR="00F82A3A" w:rsidRPr="003A4CA6">
        <w:rPr>
          <w:rFonts w:ascii="Century" w:hAnsi="Century"/>
          <w:sz w:val="28"/>
          <w:szCs w:val="28"/>
        </w:rPr>
        <w:t xml:space="preserve"> al fondo il </w:t>
      </w:r>
      <w:r w:rsidR="00F82A3A" w:rsidRPr="003A4CA6">
        <w:rPr>
          <w:rFonts w:ascii="Century" w:hAnsi="Century"/>
          <w:i/>
          <w:iCs/>
          <w:sz w:val="28"/>
          <w:szCs w:val="28"/>
        </w:rPr>
        <w:t xml:space="preserve">common </w:t>
      </w:r>
      <w:proofErr w:type="spellStart"/>
      <w:r w:rsidR="00F82A3A" w:rsidRPr="003A4CA6">
        <w:rPr>
          <w:rFonts w:ascii="Century" w:hAnsi="Century"/>
          <w:i/>
          <w:iCs/>
          <w:sz w:val="28"/>
          <w:szCs w:val="28"/>
        </w:rPr>
        <w:t>law</w:t>
      </w:r>
      <w:proofErr w:type="spellEnd"/>
      <w:r w:rsidR="00F82A3A" w:rsidRPr="003A4CA6">
        <w:rPr>
          <w:rFonts w:ascii="Century" w:hAnsi="Century"/>
          <w:sz w:val="28"/>
          <w:szCs w:val="28"/>
        </w:rPr>
        <w:t xml:space="preserve"> non è che istituzionalizzazione e formalizzazione giuridica delle tradizioni e dei costumi</w:t>
      </w:r>
      <w:r w:rsidR="00F82A3A" w:rsidRPr="003A4CA6">
        <w:rPr>
          <w:rStyle w:val="Rimandonotaapidipagina"/>
          <w:rFonts w:ascii="Century" w:hAnsi="Century"/>
          <w:sz w:val="28"/>
          <w:szCs w:val="28"/>
        </w:rPr>
        <w:footnoteReference w:id="4"/>
      </w:r>
      <w:r w:rsidR="00F82A3A" w:rsidRPr="003A4CA6">
        <w:rPr>
          <w:rFonts w:ascii="Century" w:hAnsi="Century"/>
          <w:sz w:val="28"/>
          <w:szCs w:val="28"/>
        </w:rPr>
        <w:t xml:space="preserve">. </w:t>
      </w:r>
      <w:r w:rsidR="003A4CA6" w:rsidRPr="003A4CA6">
        <w:rPr>
          <w:rFonts w:ascii="Century" w:hAnsi="Century"/>
          <w:sz w:val="28"/>
          <w:szCs w:val="28"/>
        </w:rPr>
        <w:t>Delle loro tradizioni: il grande equivoco è voler esportare un modello giuridico armonico ad una tradizione, in una tradizione diversa.</w:t>
      </w:r>
      <w:r w:rsidR="003A4CA6">
        <w:t xml:space="preserve"> </w:t>
      </w:r>
    </w:p>
    <w:sectPr w:rsidR="00350D3C" w:rsidRPr="001F12AE" w:rsidSect="008B0033">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2A3A" w:rsidRDefault="00F82A3A" w:rsidP="00F82A3A">
      <w:r>
        <w:separator/>
      </w:r>
    </w:p>
  </w:endnote>
  <w:endnote w:type="continuationSeparator" w:id="0">
    <w:p w:rsidR="00F82A3A" w:rsidRDefault="00F82A3A" w:rsidP="00F82A3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2A3A" w:rsidRDefault="00F82A3A" w:rsidP="00F82A3A">
      <w:r>
        <w:separator/>
      </w:r>
    </w:p>
  </w:footnote>
  <w:footnote w:type="continuationSeparator" w:id="0">
    <w:p w:rsidR="00F82A3A" w:rsidRDefault="00F82A3A" w:rsidP="00F82A3A">
      <w:r>
        <w:continuationSeparator/>
      </w:r>
    </w:p>
  </w:footnote>
  <w:footnote w:id="1">
    <w:p w:rsidR="00F82A3A" w:rsidRDefault="00F82A3A" w:rsidP="003A4CA6">
      <w:pPr>
        <w:pStyle w:val="Testonotaapidipagina"/>
        <w:jc w:val="both"/>
        <w:rPr>
          <w:i/>
          <w:iCs/>
        </w:rPr>
      </w:pPr>
      <w:r>
        <w:rPr>
          <w:rStyle w:val="Rimandonotaapidipagina"/>
        </w:rPr>
        <w:footnoteRef/>
      </w:r>
      <w:r>
        <w:t xml:space="preserve"> F. </w:t>
      </w:r>
      <w:proofErr w:type="spellStart"/>
      <w:r>
        <w:t>Fukuyama</w:t>
      </w:r>
      <w:proofErr w:type="spellEnd"/>
      <w:r>
        <w:t>,</w:t>
      </w:r>
      <w:r>
        <w:rPr>
          <w:i/>
        </w:rPr>
        <w:t xml:space="preserve"> Fiducia</w:t>
      </w:r>
      <w:r>
        <w:t xml:space="preserve">, </w:t>
      </w:r>
      <w:r>
        <w:rPr>
          <w:i/>
        </w:rPr>
        <w:t>op. cit</w:t>
      </w:r>
      <w:r>
        <w:t>., 1996, sottolinea le differenze fra un ordine sociale strutturato in forme, anche non-scelte, prevalentemente di tipo tradizionale, di solidarietà e interdipendenza organica di “comunità” (</w:t>
      </w:r>
      <w:proofErr w:type="spellStart"/>
      <w:r>
        <w:rPr>
          <w:i/>
        </w:rPr>
        <w:t>Gemeinschaft</w:t>
      </w:r>
      <w:proofErr w:type="spellEnd"/>
      <w:r>
        <w:t xml:space="preserve">) che genera responsabilità di appartenenza, e quelle individualiste, in cui le persone sono solo “contraenti” l’una rispetto all’altra alla ricerca della soddisfazione dei propri interessi, senza alcun dovere che non sia lo stretto pagamento dell’utilità conseguita, effettuato il quale, ogni reciprocità è estinta. </w:t>
      </w:r>
    </w:p>
  </w:footnote>
  <w:footnote w:id="2">
    <w:p w:rsidR="00F82A3A" w:rsidRDefault="00F82A3A" w:rsidP="003A4CA6">
      <w:pPr>
        <w:pStyle w:val="Testonotaapidipagina"/>
        <w:jc w:val="both"/>
      </w:pPr>
      <w:r>
        <w:rPr>
          <w:rStyle w:val="Rimandonotaapidipagina"/>
        </w:rPr>
        <w:footnoteRef/>
      </w:r>
      <w:r>
        <w:t xml:space="preserve"> Che definisce con regole formali la dimensione economica (struttura gerarchica e poteri legiferativi), la dimensione economica (diritti di proprietà, libertà contrattuale, accesso aperto ai mercati) e quella di protezione (magistratura, polizia, esercito), allo scopo di </w:t>
      </w:r>
      <w:proofErr w:type="spellStart"/>
      <w:r>
        <w:t>di</w:t>
      </w:r>
      <w:proofErr w:type="spellEnd"/>
      <w:r>
        <w:t xml:space="preserve"> inquadrare i comportamenti umani in termini di prevedibilità: S. </w:t>
      </w:r>
      <w:proofErr w:type="spellStart"/>
      <w:r>
        <w:rPr>
          <w:iCs/>
        </w:rPr>
        <w:t>Svetozar</w:t>
      </w:r>
      <w:proofErr w:type="spellEnd"/>
      <w:r>
        <w:rPr>
          <w:iCs/>
        </w:rPr>
        <w:t xml:space="preserve"> </w:t>
      </w:r>
      <w:proofErr w:type="spellStart"/>
      <w:r>
        <w:rPr>
          <w:iCs/>
        </w:rPr>
        <w:t>Pejovich</w:t>
      </w:r>
      <w:proofErr w:type="spellEnd"/>
      <w:r>
        <w:t xml:space="preserve">, </w:t>
      </w:r>
      <w:proofErr w:type="spellStart"/>
      <w:r>
        <w:rPr>
          <w:i/>
          <w:iCs/>
        </w:rPr>
        <w:t>Capitalism</w:t>
      </w:r>
      <w:proofErr w:type="spellEnd"/>
      <w:r>
        <w:rPr>
          <w:i/>
          <w:iCs/>
        </w:rPr>
        <w:t xml:space="preserve"> and the </w:t>
      </w:r>
      <w:proofErr w:type="spellStart"/>
      <w:r>
        <w:rPr>
          <w:i/>
          <w:iCs/>
        </w:rPr>
        <w:t>Rule</w:t>
      </w:r>
      <w:proofErr w:type="spellEnd"/>
      <w:r>
        <w:rPr>
          <w:i/>
          <w:iCs/>
        </w:rPr>
        <w:t xml:space="preserve"> </w:t>
      </w:r>
      <w:proofErr w:type="spellStart"/>
      <w:r>
        <w:rPr>
          <w:i/>
          <w:iCs/>
        </w:rPr>
        <w:t>of</w:t>
      </w:r>
      <w:proofErr w:type="spellEnd"/>
      <w:r>
        <w:rPr>
          <w:i/>
          <w:iCs/>
        </w:rPr>
        <w:t xml:space="preserve"> </w:t>
      </w:r>
      <w:proofErr w:type="spellStart"/>
      <w:r>
        <w:rPr>
          <w:i/>
          <w:iCs/>
        </w:rPr>
        <w:t>Law</w:t>
      </w:r>
      <w:proofErr w:type="spellEnd"/>
      <w:r>
        <w:rPr>
          <w:i/>
          <w:iCs/>
        </w:rPr>
        <w:t xml:space="preserve">: The Case </w:t>
      </w:r>
      <w:proofErr w:type="spellStart"/>
      <w:r>
        <w:rPr>
          <w:i/>
          <w:iCs/>
        </w:rPr>
        <w:t>for</w:t>
      </w:r>
      <w:proofErr w:type="spellEnd"/>
      <w:r>
        <w:rPr>
          <w:i/>
          <w:iCs/>
        </w:rPr>
        <w:t xml:space="preserve"> Common </w:t>
      </w:r>
      <w:proofErr w:type="spellStart"/>
      <w:r>
        <w:rPr>
          <w:i/>
          <w:iCs/>
        </w:rPr>
        <w:t>Law</w:t>
      </w:r>
      <w:proofErr w:type="spellEnd"/>
      <w:r>
        <w:t>, Washington, ottobre 2007, 6.</w:t>
      </w:r>
    </w:p>
  </w:footnote>
  <w:footnote w:id="3">
    <w:p w:rsidR="00F82A3A" w:rsidRDefault="00F82A3A" w:rsidP="00F82A3A">
      <w:pPr>
        <w:pStyle w:val="Testonotaapidipagina"/>
        <w:rPr>
          <w:lang w:val="de-DE"/>
        </w:rPr>
      </w:pPr>
      <w:r>
        <w:rPr>
          <w:rStyle w:val="Rimandonotaapidipagina"/>
        </w:rPr>
        <w:footnoteRef/>
      </w:r>
      <w:r>
        <w:rPr>
          <w:lang w:val="de-DE"/>
        </w:rPr>
        <w:t xml:space="preserve"> M. van de </w:t>
      </w:r>
      <w:proofErr w:type="spellStart"/>
      <w:r>
        <w:rPr>
          <w:lang w:val="de-DE"/>
        </w:rPr>
        <w:t>Kerchove</w:t>
      </w:r>
      <w:proofErr w:type="spellEnd"/>
      <w:r>
        <w:rPr>
          <w:lang w:val="de-DE"/>
        </w:rPr>
        <w:t xml:space="preserve"> - F. Ost, </w:t>
      </w:r>
      <w:r>
        <w:rPr>
          <w:i/>
          <w:lang w:val="de-DE"/>
        </w:rPr>
        <w:t xml:space="preserve">op. </w:t>
      </w:r>
      <w:proofErr w:type="spellStart"/>
      <w:r>
        <w:rPr>
          <w:i/>
          <w:lang w:val="de-DE"/>
        </w:rPr>
        <w:t>cit</w:t>
      </w:r>
      <w:proofErr w:type="spellEnd"/>
      <w:r>
        <w:rPr>
          <w:lang w:val="de-DE"/>
        </w:rPr>
        <w:t>., 134.</w:t>
      </w:r>
    </w:p>
  </w:footnote>
  <w:footnote w:id="4">
    <w:p w:rsidR="00F82A3A" w:rsidRDefault="00F82A3A" w:rsidP="00F82A3A">
      <w:pPr>
        <w:pStyle w:val="Testonotaapidipagina"/>
        <w:rPr>
          <w:lang w:val="en-GB"/>
        </w:rPr>
      </w:pPr>
      <w:r>
        <w:rPr>
          <w:rStyle w:val="Rimandonotaapidipagina"/>
        </w:rPr>
        <w:footnoteRef/>
      </w:r>
      <w:r>
        <w:rPr>
          <w:lang w:val="en-GB"/>
        </w:rPr>
        <w:t xml:space="preserve"> </w:t>
      </w:r>
      <w:r>
        <w:rPr>
          <w:iCs/>
          <w:lang w:val="en-GB"/>
        </w:rPr>
        <w:t xml:space="preserve">S. </w:t>
      </w:r>
      <w:proofErr w:type="spellStart"/>
      <w:r>
        <w:rPr>
          <w:iCs/>
          <w:lang w:val="en-GB"/>
        </w:rPr>
        <w:t>Pejovich</w:t>
      </w:r>
      <w:proofErr w:type="spellEnd"/>
      <w:r>
        <w:rPr>
          <w:lang w:val="en-GB"/>
        </w:rPr>
        <w:t xml:space="preserve">, </w:t>
      </w:r>
      <w:r>
        <w:rPr>
          <w:i/>
          <w:lang w:val="en-GB"/>
        </w:rPr>
        <w:t>op. cit</w:t>
      </w:r>
      <w:r>
        <w:rPr>
          <w:lang w:val="en-GB"/>
        </w:rPr>
        <w:t>., 8.</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F82A3A"/>
    <w:rsid w:val="0018026B"/>
    <w:rsid w:val="001F12AE"/>
    <w:rsid w:val="00306798"/>
    <w:rsid w:val="00350D3C"/>
    <w:rsid w:val="00371B15"/>
    <w:rsid w:val="003A4CA6"/>
    <w:rsid w:val="003A6EEE"/>
    <w:rsid w:val="008B0033"/>
    <w:rsid w:val="00942714"/>
    <w:rsid w:val="00C76544"/>
    <w:rsid w:val="00DA3B0F"/>
    <w:rsid w:val="00EF1525"/>
    <w:rsid w:val="00F21655"/>
    <w:rsid w:val="00F82A3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82A3A"/>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sto">
    <w:name w:val="testo"/>
    <w:rsid w:val="00F82A3A"/>
    <w:pPr>
      <w:adjustRightInd w:val="0"/>
      <w:spacing w:after="0" w:line="260" w:lineRule="exact"/>
      <w:ind w:firstLine="397"/>
      <w:jc w:val="both"/>
    </w:pPr>
    <w:rPr>
      <w:rFonts w:ascii="Times New Roman" w:eastAsia="Times New Roman" w:hAnsi="Times New Roman" w:cs="Times New Roman"/>
      <w:lang w:eastAsia="it-IT"/>
    </w:rPr>
  </w:style>
  <w:style w:type="character" w:styleId="Rimandonotaapidipagina">
    <w:name w:val="footnote reference"/>
    <w:basedOn w:val="Carpredefinitoparagrafo"/>
    <w:semiHidden/>
    <w:rsid w:val="00F82A3A"/>
    <w:rPr>
      <w:vertAlign w:val="superscript"/>
    </w:rPr>
  </w:style>
  <w:style w:type="paragraph" w:styleId="Testonotaapidipagina">
    <w:name w:val="footnote text"/>
    <w:basedOn w:val="Normale"/>
    <w:link w:val="TestonotaapidipaginaCarattere"/>
    <w:semiHidden/>
    <w:rsid w:val="00F82A3A"/>
    <w:pPr>
      <w:suppressAutoHyphens/>
    </w:pPr>
    <w:rPr>
      <w:sz w:val="20"/>
      <w:szCs w:val="20"/>
    </w:rPr>
  </w:style>
  <w:style w:type="character" w:customStyle="1" w:styleId="TestonotaapidipaginaCarattere">
    <w:name w:val="Testo nota a piè di pagina Carattere"/>
    <w:basedOn w:val="Carpredefinitoparagrafo"/>
    <w:link w:val="Testonotaapidipagina"/>
    <w:semiHidden/>
    <w:rsid w:val="00F82A3A"/>
    <w:rPr>
      <w:rFonts w:ascii="Times New Roman" w:eastAsia="Times New Roman" w:hAnsi="Times New Roman" w:cs="Times New Roman"/>
      <w:sz w:val="20"/>
      <w:szCs w:val="20"/>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989</Words>
  <Characters>5639</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2011-08-09T17:21:00Z</dcterms:created>
  <dcterms:modified xsi:type="dcterms:W3CDTF">2011-10-16T14:18:00Z</dcterms:modified>
</cp:coreProperties>
</file>